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76" w:lineRule="auto"/>
        <w:rPr>
          <w:color w:val="ff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Tool: Activities for learning from and about adolescents</w:t>
      </w: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color w:val="ff0000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3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30"/>
        <w:tblGridChange w:id="0">
          <w:tblGrid>
            <w:gridCol w:w="893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="276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Understanding adolescents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Our days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Provides information about adolescents’ daily activities and responsibilities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Our environment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Demonstrates what adolescents know about the geography, layout, and services in their communities, and how they view the resources and risks around them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Our challenges, our solutions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Explores issues that concern adolescents, and their ideas for positive solutions to those issues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Ourselves on the inside and outside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Demonstrates how adolescents see themselves, and provides insights into their psychosocial wellbeing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I am, I have, I can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Allows adolescents to explore their strengths through drawing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Relationship map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Demonstrates some of the relationships in adolescents’ lives, both positive and challenging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Community dialogue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Provides adolescents with opportunities to discuss issues that interest them with adults in the community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Organizing an exhibition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 Showcases adolescents’ work and allows adolescents to express their feelings and views about particular issues</w:t>
            </w:r>
          </w:p>
        </w:tc>
      </w:tr>
    </w:tbl>
    <w:p w:rsidR="00000000" w:rsidDel="00000000" w:rsidP="00000000" w:rsidRDefault="00000000" w:rsidRPr="00000000" w14:paraId="0000000C">
      <w:pPr>
        <w:spacing w:line="276" w:lineRule="auto"/>
        <w:rPr>
          <w:b w:val="0"/>
          <w:i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Use the activity guides below to help adolescent girls and boys to explore their lives and experiences, and to learn more about their circumstances.   </w:t>
      </w:r>
      <w:r w:rsidDel="00000000" w:rsidR="00000000" w:rsidRPr="00000000">
        <w:rPr>
          <w:b w:val="1"/>
          <w:i w:val="1"/>
          <w:color w:val="ff0000"/>
          <w:sz w:val="20"/>
          <w:szCs w:val="20"/>
          <w:vertAlign w:val="baseline"/>
          <w:rtl w:val="0"/>
        </w:rPr>
        <w:t xml:space="preserve">Insert icon for: Listen to adolescents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993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 the Facilitator’s Guidance for detailed activity guides.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